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spacing w:line="720" w:lineRule="exact"/>
        <w:rPr>
          <w:rFonts w:ascii="Times New Roman" w:hAnsi="Times New Roman" w:eastAsia="仿宋_GB2312" w:cs="Times New Roman"/>
          <w:sz w:val="32"/>
          <w:szCs w:val="32"/>
        </w:rPr>
      </w:pPr>
    </w:p>
    <w:p>
      <w:pPr>
        <w:jc w:val="center"/>
        <w:rPr>
          <w:rFonts w:ascii="Times New Roman" w:hAnsi="Times New Roman" w:eastAsia="仿宋" w:cs="Times New Roman"/>
          <w:sz w:val="32"/>
          <w:szCs w:val="32"/>
        </w:rPr>
      </w:pPr>
      <w:r>
        <w:rPr>
          <w:rFonts w:ascii="Times New Roman" w:hAnsi="Times New Roman" w:eastAsia="仿宋_GB2312" w:cs="Times New Roman"/>
          <w:sz w:val="32"/>
          <w:szCs w:val="32"/>
        </w:rPr>
        <w:t>孟</w:t>
      </w:r>
      <w:r>
        <w:rPr>
          <w:rFonts w:hint="eastAsia" w:ascii="Times New Roman" w:hAnsi="Times New Roman" w:eastAsia="仿宋_GB2312" w:cs="Times New Roman"/>
          <w:sz w:val="32"/>
          <w:szCs w:val="32"/>
        </w:rPr>
        <w:t>交</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32</w:t>
      </w:r>
      <w:r>
        <w:rPr>
          <w:rFonts w:ascii="Times New Roman" w:hAnsi="Times New Roman" w:eastAsia="仿宋_GB2312" w:cs="Times New Roman"/>
          <w:sz w:val="32"/>
          <w:szCs w:val="32"/>
        </w:rPr>
        <w:t>号</w:t>
      </w:r>
    </w:p>
    <w:p>
      <w:pPr>
        <w:rPr>
          <w:rFonts w:ascii="Times New Roman" w:hAnsi="Times New Roman" w:eastAsia="仿宋_GB2312" w:cs="Times New Roman"/>
          <w:sz w:val="32"/>
          <w:szCs w:val="32"/>
        </w:rPr>
      </w:pPr>
    </w:p>
    <w:p>
      <w:pPr>
        <w:rPr>
          <w:rFonts w:ascii="Times New Roman" w:hAnsi="Times New Roman" w:cs="Times New Roman"/>
          <w:b/>
          <w:sz w:val="44"/>
          <w:szCs w:val="44"/>
        </w:rPr>
      </w:pPr>
    </w:p>
    <w:p>
      <w:pPr>
        <w:widowControl/>
        <w:shd w:val="clear" w:color="auto" w:fill="FFFFFF"/>
        <w:spacing w:line="600" w:lineRule="exact"/>
        <w:jc w:val="center"/>
        <w:rPr>
          <w:rFonts w:ascii="Times New Roman" w:hAnsi="Times New Roman" w:eastAsia="方正小标宋简体" w:cs="Times New Roman"/>
          <w:b w:val="0"/>
          <w:bCs w:val="0"/>
          <w:color w:val="000000"/>
          <w:sz w:val="44"/>
          <w:szCs w:val="44"/>
        </w:rPr>
      </w:pPr>
      <w:r>
        <w:rPr>
          <w:rFonts w:ascii="Times New Roman" w:hAnsi="Times New Roman" w:eastAsia="方正小标宋简体" w:cs="Times New Roman"/>
          <w:b w:val="0"/>
          <w:bCs w:val="0"/>
          <w:color w:val="000000"/>
          <w:sz w:val="44"/>
          <w:szCs w:val="44"/>
        </w:rPr>
        <w:t>洛阳市孟津区交通运输局</w:t>
      </w:r>
    </w:p>
    <w:p>
      <w:pPr>
        <w:pStyle w:val="2"/>
        <w:spacing w:line="600" w:lineRule="exact"/>
        <w:ind w:firstLine="0" w:firstLineChars="0"/>
        <w:jc w:val="center"/>
        <w:rPr>
          <w:rFonts w:hint="default" w:ascii="仿宋_GB2312" w:eastAsia="方正小标宋简体"/>
          <w:b w:val="0"/>
          <w:bCs w:val="0"/>
          <w:sz w:val="32"/>
          <w:szCs w:val="32"/>
          <w:lang w:val="en-US" w:eastAsia="zh-CN"/>
        </w:rPr>
      </w:pPr>
      <w:r>
        <w:rPr>
          <w:rFonts w:hint="eastAsia" w:ascii="方正小标宋简体" w:hAnsi="Times New Roman" w:eastAsia="方正小标宋简体" w:cs="Times New Roman"/>
          <w:b w:val="0"/>
          <w:bCs w:val="0"/>
          <w:color w:val="000000"/>
          <w:sz w:val="44"/>
          <w:szCs w:val="44"/>
          <w:lang w:val="en-US" w:eastAsia="zh-CN"/>
        </w:rPr>
        <w:t>关于印发</w:t>
      </w:r>
      <w:r>
        <w:rPr>
          <w:rFonts w:hint="eastAsia" w:ascii="方正小标宋简体" w:hAnsi="Times New Roman" w:eastAsia="方正小标宋简体" w:cs="Times New Roman"/>
          <w:b w:val="0"/>
          <w:bCs w:val="0"/>
          <w:color w:val="000000"/>
          <w:sz w:val="44"/>
          <w:szCs w:val="44"/>
        </w:rPr>
        <w:t>2023年“双随机、一公开”抽查工作方案</w:t>
      </w:r>
      <w:r>
        <w:rPr>
          <w:rFonts w:hint="eastAsia" w:ascii="方正小标宋简体" w:hAnsi="Times New Roman" w:eastAsia="方正小标宋简体" w:cs="Times New Roman"/>
          <w:b w:val="0"/>
          <w:bCs w:val="0"/>
          <w:color w:val="000000"/>
          <w:sz w:val="44"/>
          <w:szCs w:val="44"/>
          <w:lang w:val="en-US" w:eastAsia="zh-CN"/>
        </w:rPr>
        <w:t>的通知</w:t>
      </w:r>
    </w:p>
    <w:p>
      <w:pPr>
        <w:autoSpaceDE w:val="0"/>
        <w:autoSpaceDN w:val="0"/>
        <w:adjustRightInd w:val="0"/>
        <w:spacing w:line="594" w:lineRule="exact"/>
        <w:rPr>
          <w:rFonts w:hint="eastAsia" w:ascii="Times New Roman" w:hAnsi="Times New Roman" w:eastAsia="仿宋_GB2312" w:cs="Times New Roman"/>
          <w:kern w:val="0"/>
          <w:sz w:val="32"/>
          <w:szCs w:val="32"/>
          <w:lang w:val="zh-CN"/>
        </w:rPr>
      </w:pPr>
    </w:p>
    <w:p>
      <w:pPr>
        <w:autoSpaceDE w:val="0"/>
        <w:autoSpaceDN w:val="0"/>
        <w:adjustRightInd w:val="0"/>
        <w:spacing w:line="594" w:lineRule="exact"/>
        <w:jc w:val="left"/>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局属各单位、机关各股室：</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现将《</w:t>
      </w:r>
      <w:r>
        <w:rPr>
          <w:rFonts w:hint="eastAsia" w:ascii="Times New Roman" w:hAnsi="Times New Roman" w:eastAsia="仿宋_GB2312" w:cs="Times New Roman"/>
          <w:kern w:val="0"/>
          <w:sz w:val="32"/>
          <w:szCs w:val="32"/>
          <w:lang w:val="zh-CN"/>
        </w:rPr>
        <w:t>2023年“双随机、一公开”抽查工作方案</w:t>
      </w:r>
      <w:r>
        <w:rPr>
          <w:rFonts w:hint="eastAsia" w:ascii="Times New Roman" w:hAnsi="Times New Roman" w:eastAsia="仿宋_GB2312" w:cs="Times New Roman"/>
          <w:kern w:val="0"/>
          <w:sz w:val="32"/>
          <w:szCs w:val="32"/>
          <w:lang w:val="en-US" w:eastAsia="zh-CN"/>
        </w:rPr>
        <w:t>》印发你们，请结合实际，认真抓好贯彻落实。</w:t>
      </w:r>
    </w:p>
    <w:p>
      <w:pPr>
        <w:pStyle w:val="2"/>
        <w:wordWrap w:val="0"/>
        <w:jc w:val="right"/>
        <w:rPr>
          <w:rFonts w:hint="eastAsia" w:ascii="Times New Roman" w:hAnsi="Times New Roman" w:eastAsia="仿宋_GB2312" w:cs="Times New Roman"/>
          <w:kern w:val="0"/>
          <w:sz w:val="32"/>
          <w:szCs w:val="32"/>
          <w:lang w:val="en-US" w:eastAsia="zh-CN"/>
        </w:rPr>
      </w:pPr>
    </w:p>
    <w:p>
      <w:pPr>
        <w:pStyle w:val="2"/>
        <w:wordWrap w:val="0"/>
        <w:jc w:val="right"/>
        <w:rPr>
          <w:rFonts w:hint="eastAsia" w:ascii="Times New Roman" w:hAnsi="Times New Roman" w:eastAsia="仿宋_GB2312" w:cs="Times New Roman"/>
          <w:kern w:val="0"/>
          <w:sz w:val="32"/>
          <w:szCs w:val="32"/>
          <w:lang w:val="en-US" w:eastAsia="zh-CN"/>
        </w:rPr>
      </w:pPr>
    </w:p>
    <w:p>
      <w:pPr>
        <w:pStyle w:val="2"/>
        <w:wordWrap w:val="0"/>
        <w:jc w:val="righ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 xml:space="preserve">2023年5月11日      </w:t>
      </w:r>
    </w:p>
    <w:p>
      <w:pPr>
        <w:pStyle w:val="2"/>
        <w:wordWrap w:val="0"/>
        <w:jc w:val="right"/>
        <w:rPr>
          <w:rFonts w:hint="default"/>
          <w:lang w:val="en-US" w:eastAsia="zh-CN"/>
        </w:rPr>
      </w:pPr>
      <w:r>
        <w:rPr>
          <w:rFonts w:hint="eastAsia" w:ascii="Times New Roman" w:hAnsi="Times New Roman" w:eastAsia="仿宋_GB2312" w:cs="Times New Roman"/>
          <w:kern w:val="0"/>
          <w:sz w:val="32"/>
          <w:szCs w:val="32"/>
          <w:lang w:val="en-US" w:eastAsia="zh-CN"/>
        </w:rPr>
        <w:t xml:space="preserve">  </w:t>
      </w:r>
    </w:p>
    <w:p>
      <w:pPr>
        <w:widowControl/>
        <w:shd w:val="clear" w:color="auto" w:fill="FFFFFF"/>
        <w:spacing w:line="600" w:lineRule="exact"/>
        <w:jc w:val="center"/>
        <w:rPr>
          <w:rFonts w:ascii="Times New Roman" w:hAnsi="Times New Roman" w:eastAsia="方正小标宋简体" w:cs="Times New Roman"/>
          <w:b w:val="0"/>
          <w:bCs w:val="0"/>
          <w:color w:val="000000"/>
          <w:sz w:val="44"/>
          <w:szCs w:val="44"/>
        </w:rPr>
      </w:pPr>
      <w:r>
        <w:rPr>
          <w:rFonts w:ascii="Times New Roman" w:hAnsi="Times New Roman" w:eastAsia="方正小标宋简体" w:cs="Times New Roman"/>
          <w:b w:val="0"/>
          <w:bCs w:val="0"/>
          <w:color w:val="000000"/>
          <w:sz w:val="44"/>
          <w:szCs w:val="44"/>
        </w:rPr>
        <w:t>洛阳市孟津区交通运输局</w:t>
      </w:r>
    </w:p>
    <w:p>
      <w:pPr>
        <w:autoSpaceDE w:val="0"/>
        <w:autoSpaceDN w:val="0"/>
        <w:adjustRightInd w:val="0"/>
        <w:spacing w:line="594" w:lineRule="exact"/>
        <w:jc w:val="center"/>
        <w:rPr>
          <w:rFonts w:hint="eastAsia" w:ascii="方正小标宋简体" w:hAnsi="Times New Roman" w:eastAsia="方正小标宋简体" w:cs="Times New Roman"/>
          <w:b w:val="0"/>
          <w:bCs w:val="0"/>
          <w:color w:val="000000"/>
          <w:sz w:val="44"/>
          <w:szCs w:val="44"/>
        </w:rPr>
      </w:pPr>
      <w:r>
        <w:rPr>
          <w:rFonts w:hint="eastAsia" w:ascii="方正小标宋简体" w:hAnsi="Times New Roman" w:eastAsia="方正小标宋简体" w:cs="Times New Roman"/>
          <w:b w:val="0"/>
          <w:bCs w:val="0"/>
          <w:color w:val="000000"/>
          <w:sz w:val="44"/>
          <w:szCs w:val="44"/>
        </w:rPr>
        <w:t>2023年“双随机、一公开”抽查工作方案</w:t>
      </w:r>
    </w:p>
    <w:p>
      <w:pPr>
        <w:pStyle w:val="2"/>
        <w:rPr>
          <w:rFonts w:hint="eastAsia"/>
          <w:lang w:val="zh-CN"/>
        </w:rPr>
      </w:pP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“双随机、一公开”监管是党中央、国务院作出的重大决策部署，是新形势下监管方式的深刻变革。为做好2023年全区交通运输系统“双随机、一公开”抽查工作，制订本工作方案。</w:t>
      </w:r>
    </w:p>
    <w:p>
      <w:pPr>
        <w:autoSpaceDE w:val="0"/>
        <w:autoSpaceDN w:val="0"/>
        <w:adjustRightInd w:val="0"/>
        <w:spacing w:line="594" w:lineRule="exact"/>
        <w:ind w:firstLine="640" w:firstLineChars="200"/>
        <w:rPr>
          <w:rFonts w:hint="eastAsia" w:ascii="黑体" w:hAnsi="黑体" w:eastAsia="黑体" w:cs="Times New Roman"/>
          <w:kern w:val="0"/>
          <w:sz w:val="32"/>
          <w:szCs w:val="32"/>
          <w:lang w:val="zh-CN"/>
        </w:rPr>
      </w:pPr>
      <w:r>
        <w:rPr>
          <w:rFonts w:hint="eastAsia" w:ascii="黑体" w:hAnsi="黑体" w:eastAsia="黑体" w:cs="Times New Roman"/>
          <w:kern w:val="0"/>
          <w:sz w:val="32"/>
          <w:szCs w:val="32"/>
          <w:lang w:val="zh-CN"/>
        </w:rPr>
        <w:t>一、总体要求</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（一）深刻认识“双随机、一公开”监管的重要意义。</w:t>
      </w:r>
      <w:r>
        <w:rPr>
          <w:rFonts w:hint="eastAsia" w:ascii="Times New Roman" w:hAnsi="Times New Roman" w:eastAsia="仿宋_GB2312" w:cs="Times New Roman"/>
          <w:kern w:val="0"/>
          <w:sz w:val="32"/>
          <w:szCs w:val="32"/>
          <w:lang w:val="zh-CN"/>
        </w:rPr>
        <w:t>“双随机、一公开”监管是新形势下市场监管方式的深刻变革。随着简政放权的不断推进和市场主体的大量增加，各类新兴业态层出不穷，一些领域风险日益突出，对市场监管部门加强事中事后监管带来了新挑战。全面推行“</w:t>
      </w:r>
      <w:bookmarkStart w:id="0" w:name="_GoBack"/>
      <w:bookmarkEnd w:id="0"/>
      <w:r>
        <w:rPr>
          <w:rFonts w:hint="eastAsia" w:ascii="Times New Roman" w:hAnsi="Times New Roman" w:eastAsia="仿宋_GB2312" w:cs="Times New Roman"/>
          <w:kern w:val="0"/>
          <w:sz w:val="32"/>
          <w:szCs w:val="32"/>
          <w:lang w:val="zh-CN"/>
        </w:rPr>
        <w:t>双随机、一公开”监管，对于适应商事制度改革新形势和加强事中事后监管新要求、降低监管成本和提升监管效能、解决监管力量不足、减轻企业负担，以及强化市场主体信用意识和主体责任具有十分重要的作用。各责任单位要切实转变监管理念，创新监管方式，加快健全以“双随机、一公开”监管为基本手段、以重点监管为补充、以信用监管为基础的新型监管机制，强化线上线下一体化监管，着力提升监管公平性、规范性和有效性。要以公平公正监管为基本遵循，“管优不是管乱、管活不是管死”，做到监管效能最大化、监管成本最优化、对市场主体干扰最小化，努力营造良好营商环境、有序竞争环境和放心消费环境。</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（二）加强统筹协调。</w:t>
      </w:r>
      <w:r>
        <w:rPr>
          <w:rFonts w:hint="eastAsia" w:ascii="Times New Roman" w:hAnsi="Times New Roman" w:eastAsia="仿宋_GB2312" w:cs="Times New Roman"/>
          <w:kern w:val="0"/>
          <w:sz w:val="32"/>
          <w:szCs w:val="32"/>
          <w:lang w:val="zh-CN"/>
        </w:rPr>
        <w:t>“双随机、一公开”监管是行业监管全局性工作。责任单位、局责任股室要充分发挥整体优势，加强统筹协调，注重内部各业务条线的职能整合，将“双随机、一公开”监管理念贯穿到交通运输执法各领域中。各单位要充分整合日常监管任务，避免重复多头布置，承担检验检测职能的单位要按照抽查规范开展工作。</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（三）正确处理双随机抽查与其他专项或重点检查的关系。</w:t>
      </w:r>
      <w:r>
        <w:rPr>
          <w:rFonts w:hint="eastAsia" w:ascii="Times New Roman" w:hAnsi="Times New Roman" w:eastAsia="仿宋_GB2312" w:cs="Times New Roman"/>
          <w:kern w:val="0"/>
          <w:sz w:val="32"/>
          <w:szCs w:val="32"/>
          <w:lang w:val="zh-CN"/>
        </w:rPr>
        <w:t>在发挥“双随机、一公开”监管日常性、基础性作用的同时，对涉及安全以及未列入抽查事项清单的事项，按照现有方式严格监管。对通过投诉举报、转办交办发现的违法违规个案线索，要及时进行检查、处置。对通过监测途径发现的普遍性问题和突出风险，在开展有针对性的检查时，要贯彻“双随机、一公开”的理念，根据实际情况确定抽查行业、抽查区域及抽查比例，严防系统性、区域性风险。</w:t>
      </w:r>
    </w:p>
    <w:p>
      <w:pPr>
        <w:autoSpaceDE w:val="0"/>
        <w:autoSpaceDN w:val="0"/>
        <w:adjustRightInd w:val="0"/>
        <w:spacing w:line="594" w:lineRule="exact"/>
        <w:ind w:firstLine="640" w:firstLineChars="200"/>
        <w:rPr>
          <w:rFonts w:hint="eastAsia" w:ascii="黑体" w:hAnsi="黑体" w:eastAsia="黑体" w:cs="Times New Roman"/>
          <w:kern w:val="0"/>
          <w:sz w:val="32"/>
          <w:szCs w:val="32"/>
          <w:lang w:val="zh-CN"/>
        </w:rPr>
      </w:pPr>
      <w:r>
        <w:rPr>
          <w:rFonts w:hint="eastAsia" w:ascii="黑体" w:hAnsi="黑体" w:eastAsia="黑体" w:cs="Times New Roman"/>
          <w:kern w:val="0"/>
          <w:sz w:val="32"/>
          <w:szCs w:val="32"/>
          <w:lang w:val="zh-CN"/>
        </w:rPr>
        <w:t>二、重点任务</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1．对道路客运经营、客运站经营中交通运输违法违规行为的监督检查（责任单位：局运输管理股、区交通运输综合行政执法大队；事项类别：重点检查事项）</w:t>
      </w:r>
    </w:p>
    <w:p>
      <w:pPr>
        <w:autoSpaceDE w:val="0"/>
        <w:autoSpaceDN w:val="0"/>
        <w:adjustRightInd w:val="0"/>
        <w:spacing w:line="594" w:lineRule="exact"/>
        <w:ind w:right="55" w:rightChars="26" w:firstLine="629"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spacing w:val="0"/>
          <w:w w:val="98"/>
          <w:kern w:val="0"/>
          <w:sz w:val="32"/>
          <w:szCs w:val="32"/>
          <w:fitText w:val="8346" w:id="-1252365312"/>
          <w:lang w:val="zh-CN"/>
        </w:rPr>
        <w:t>（1）检查对象库建立的数量、名称。</w:t>
      </w:r>
      <w:r>
        <w:rPr>
          <w:rFonts w:hint="eastAsia" w:ascii="Times New Roman" w:hAnsi="Times New Roman" w:eastAsia="仿宋_GB2312" w:cs="Times New Roman"/>
          <w:spacing w:val="0"/>
          <w:w w:val="98"/>
          <w:kern w:val="0"/>
          <w:sz w:val="32"/>
          <w:szCs w:val="32"/>
          <w:fitText w:val="8346" w:id="-1252365312"/>
          <w:lang w:val="zh-CN"/>
        </w:rPr>
        <w:t>建立一个检查对象库</w:t>
      </w:r>
      <w:r>
        <w:rPr>
          <w:rFonts w:hint="eastAsia" w:ascii="Times New Roman" w:hAnsi="Times New Roman" w:eastAsia="仿宋_GB2312" w:cs="Times New Roman"/>
          <w:spacing w:val="7"/>
          <w:w w:val="98"/>
          <w:kern w:val="0"/>
          <w:sz w:val="32"/>
          <w:szCs w:val="32"/>
          <w:fitText w:val="8346" w:id="-1252365312"/>
          <w:lang w:val="zh-CN"/>
        </w:rPr>
        <w:t>，</w:t>
      </w:r>
      <w:r>
        <w:rPr>
          <w:rFonts w:hint="eastAsia" w:ascii="Times New Roman" w:hAnsi="Times New Roman" w:eastAsia="仿宋_GB2312" w:cs="Times New Roman"/>
          <w:kern w:val="0"/>
          <w:sz w:val="32"/>
          <w:szCs w:val="32"/>
          <w:lang w:val="zh-CN"/>
        </w:rPr>
        <w:t>对象库名称为：道路客运企业、客运站。</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检查依据为《道路旅客运输及客运站管理规定》，通过国家企业信用信息公示系统（部门协同监管平台-河南）建立对象库，检查方式为现场检查。抽查频次为2次/年，抽查比例100%。</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2．对道路普通货物运输经营活动中交通运输违法行为的监督检查（责任单位：局运输管理股、区交通运输综合行政执法大队；事项类别：一般检查事项）</w:t>
      </w:r>
    </w:p>
    <w:p>
      <w:pPr>
        <w:autoSpaceDE w:val="0"/>
        <w:autoSpaceDN w:val="0"/>
        <w:adjustRightInd w:val="0"/>
        <w:spacing w:line="594" w:lineRule="exact"/>
        <w:ind w:firstLine="643" w:firstLineChars="200"/>
        <w:rPr>
          <w:rFonts w:hint="eastAsia" w:ascii="仿宋_GB2312" w:hAnsi="黑体" w:eastAsia="仿宋_GB2312" w:cs="Times New Roman"/>
          <w:b/>
          <w:kern w:val="0"/>
          <w:sz w:val="32"/>
          <w:szCs w:val="32"/>
          <w:lang w:val="zh-CN"/>
        </w:rPr>
      </w:pPr>
      <w:r>
        <w:rPr>
          <w:rFonts w:hint="eastAsia" w:ascii="仿宋_GB2312" w:hAnsi="黑体"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建立一个检查对象库，对象库名称为：普货运输企业。</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检查依据为《道路货物运输及站场管理规定》，通过国家企业信用信息公示系统(部门协同监管平台-河南)建立对象库，检查方式为现场检查。抽查频次为2次/年，抽查比例不低于5%。</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3．对道路货物运输站经营活动中交通运输违法行为的监督检查（责任单位：局运输管理股、区交通运输综合行政执法大队；事项类别：一般检查事项)</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建立一个检查对象库，对象库名称为：货运站经营企业。</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检查依据为《道路货物运输及站场管理规定》，通过国家企业信用信息公示系统（部门协同监管平台-河南）建立对象库，检查方式为现场检查。抽查频次为2次/年，抽查比例不低于10%。</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4．对道路危险品运输经营活动中交通运输违法行为的监督检查（责任单位：局运输管理股、区交通运输综合行政执法大队；事项类别：重点检查事项）</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建立一个检查对象库，名称为：危货运输企业</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检查依据为《道路危险货物运输管理规定》，通过国家企业信用信息公示系统(部门协同监管平台-河南)建立对象库，检查方式为现场检查。抽查频次为2次/年，抽查比例100%。</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5．对机动车驾驶员培训经营活动中交通运输违法行为的监督检查（责任单位：局运输管理股、区交通运输综合行政执法大队；事项类别：一般检查事项）</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建立一个检查对象库，名称为：机动车驾驶员培训机构。</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检查依据为《机动车驾驶员培训管理规定》，通过国家企业信用信息公示系统（部门协同监管平台-河南）建立对象库，检查方式为现场检查。抽查频次为2次/年，抽查比例不低于20%。</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6．对巡游出租汽车经营活动中交通运输违法行为的监督检查（责任单位：局运输管理股、区交通运输综合行政执法大队；事项类别：一般检查事项）</w:t>
      </w:r>
    </w:p>
    <w:p>
      <w:pPr>
        <w:autoSpaceDE w:val="0"/>
        <w:autoSpaceDN w:val="0"/>
        <w:adjustRightInd w:val="0"/>
        <w:spacing w:line="594" w:lineRule="exact"/>
        <w:ind w:firstLine="629"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spacing w:val="0"/>
          <w:w w:val="98"/>
          <w:kern w:val="0"/>
          <w:sz w:val="32"/>
          <w:szCs w:val="32"/>
          <w:fitText w:val="8346" w:id="-1252354560"/>
          <w:lang w:val="zh-CN"/>
        </w:rPr>
        <w:t>（1）检查对象库建立的数量、名称。</w:t>
      </w:r>
      <w:r>
        <w:rPr>
          <w:rFonts w:hint="eastAsia" w:ascii="Times New Roman" w:hAnsi="Times New Roman" w:eastAsia="仿宋_GB2312" w:cs="Times New Roman"/>
          <w:spacing w:val="0"/>
          <w:w w:val="98"/>
          <w:kern w:val="0"/>
          <w:sz w:val="32"/>
          <w:szCs w:val="32"/>
          <w:fitText w:val="8346" w:id="-1252354560"/>
          <w:lang w:val="zh-CN"/>
        </w:rPr>
        <w:t>建立一个检查对象库</w:t>
      </w:r>
      <w:r>
        <w:rPr>
          <w:rFonts w:hint="eastAsia" w:ascii="Times New Roman" w:hAnsi="Times New Roman" w:eastAsia="仿宋_GB2312" w:cs="Times New Roman"/>
          <w:spacing w:val="7"/>
          <w:w w:val="98"/>
          <w:kern w:val="0"/>
          <w:sz w:val="32"/>
          <w:szCs w:val="32"/>
          <w:fitText w:val="8346" w:id="-1252354560"/>
          <w:lang w:val="zh-CN"/>
        </w:rPr>
        <w:t>，</w:t>
      </w:r>
      <w:r>
        <w:rPr>
          <w:rFonts w:hint="eastAsia" w:ascii="Times New Roman" w:hAnsi="Times New Roman" w:eastAsia="仿宋_GB2312" w:cs="Times New Roman"/>
          <w:kern w:val="0"/>
          <w:sz w:val="32"/>
          <w:szCs w:val="32"/>
          <w:lang w:val="zh-CN"/>
        </w:rPr>
        <w:t>名称为：巡游出租汽车企业。</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检查依据为《巡游出租汽车经营服务管理规定》，通过国家企业信用信息公示系统（部门协同监管平台-河南）建立对象库，检查方式为现场检查。抽查频次为2次/年，抽查比例30%。</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7．对机动车维修经营活动中交通运输违法行为的监督检查（责任单位：局运输管理股、区交通运输综合行政执法大队；事项类别：一般检查事项）</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建立一个检查对象库，名称：维修企业。</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（2）检查对象库建立及动态更新的时间。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检查依据为《机动车维修管理规定》，通过国家企业信用信息公示系统（部门协同监管平台-河南）建立对象库，检查方式为现场检查。抽查频次为1次/年，抽查比例10%。</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8．对参与交通运输工程建设的勘察、设计、施工、监理等单位交通运输违法行为检查（责任单位：局规划建设股、区交通运输综合行政执法大队；事项类别：一般检查事项）</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建立一个检查对象库，名称：参与交通运输工程建设的勘察、设计、施工、监理等企业。</w:t>
      </w:r>
    </w:p>
    <w:p>
      <w:pPr>
        <w:tabs>
          <w:tab w:val="left" w:pos="851"/>
        </w:tabs>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检查依据为《公路水运工程质量监督管理规定》，通过工程建设管理台账、国家企业信用信息公示系统（部门协同监管平台-河南）建立对象库。检查方式为现场检查。抽查频次为1次/年，抽查比例20%。</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9．对水路运输经营活动中交通运输违法行为的监督检查（责任单位：局运输管理股、区交通运输综合行政执法大队；事项类别：重点检查事项）</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建立一个检查对象库，名称：水路运输企业</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检查依据为《中华人民共和国内河交通安全管理条例》，通过国家企业信用信息公示系统(部门协同监管平台-河南)建立对象库，检查方式为现场检查。抽查频次为2次/年，抽查比例100%。</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kern w:val="0"/>
          <w:sz w:val="32"/>
          <w:szCs w:val="32"/>
          <w:lang w:val="zh-CN"/>
        </w:rPr>
        <w:t>10．对重点货运源头单位的监督检查（责任单位：区交通运输综合行政执法支队；事项类别：重点检查事项）</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（1）检查对象库建立的数量、名称。</w:t>
      </w:r>
      <w:r>
        <w:rPr>
          <w:rFonts w:hint="eastAsia" w:ascii="Times New Roman" w:hAnsi="Times New Roman" w:eastAsia="仿宋_GB2312" w:cs="Times New Roman"/>
          <w:kern w:val="0"/>
          <w:sz w:val="32"/>
          <w:szCs w:val="32"/>
          <w:lang w:val="zh-CN"/>
        </w:rPr>
        <w:t>建立一个检查对象库，名称：货运源头单位</w:t>
      </w:r>
    </w:p>
    <w:p>
      <w:pPr>
        <w:autoSpaceDE w:val="0"/>
        <w:autoSpaceDN w:val="0"/>
        <w:adjustRightInd w:val="0"/>
        <w:spacing w:line="594" w:lineRule="exact"/>
        <w:ind w:firstLine="643" w:firstLineChars="200"/>
        <w:rPr>
          <w:rFonts w:hint="eastAsia" w:ascii="Times New Roman" w:hAnsi="Times New Roman" w:eastAsia="仿宋_GB2312" w:cs="Times New Roman"/>
          <w:b/>
          <w:kern w:val="0"/>
          <w:sz w:val="32"/>
          <w:szCs w:val="32"/>
          <w:lang w:val="zh-CN"/>
        </w:rPr>
      </w:pPr>
      <w:r>
        <w:rPr>
          <w:rFonts w:hint="eastAsia" w:ascii="Times New Roman" w:hAnsi="Times New Roman" w:eastAsia="仿宋_GB2312" w:cs="Times New Roman"/>
          <w:b/>
          <w:kern w:val="0"/>
          <w:sz w:val="32"/>
          <w:szCs w:val="32"/>
          <w:lang w:val="zh-CN"/>
        </w:rPr>
        <w:t>（2）检查对象库建立及动态调整的时间。</w:t>
      </w:r>
      <w:r>
        <w:rPr>
          <w:rFonts w:hint="eastAsia" w:ascii="Times New Roman" w:hAnsi="Times New Roman" w:eastAsia="仿宋_GB2312" w:cs="Times New Roman"/>
          <w:kern w:val="0"/>
          <w:sz w:val="32"/>
          <w:szCs w:val="32"/>
          <w:lang w:val="zh-CN"/>
        </w:rPr>
        <w:t>2023年5月15日</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（3）检查对象库建立的依据、抽查的比例。</w:t>
      </w:r>
      <w:r>
        <w:rPr>
          <w:rFonts w:hint="eastAsia" w:ascii="Times New Roman" w:hAnsi="Times New Roman" w:eastAsia="仿宋_GB2312" w:cs="Times New Roman"/>
          <w:kern w:val="0"/>
          <w:sz w:val="32"/>
          <w:szCs w:val="32"/>
          <w:lang w:val="zh-CN"/>
        </w:rPr>
        <w:t>检查依据为《河南省治理货物运输车辆超限超载条例》，通过国家企业信用信息公示系统(部门协同监管平台-河南)建立对象库，检查方式为现场检查。抽查频次为2次/年，抽查比例100%。</w:t>
      </w:r>
    </w:p>
    <w:p>
      <w:pPr>
        <w:autoSpaceDE w:val="0"/>
        <w:autoSpaceDN w:val="0"/>
        <w:adjustRightInd w:val="0"/>
        <w:spacing w:line="594" w:lineRule="exact"/>
        <w:ind w:firstLine="643" w:firstLineChars="200"/>
        <w:rPr>
          <w:rFonts w:hint="eastAsia" w:ascii="Times New Roman" w:hAnsi="Times New Roman" w:eastAsia="仿宋_GB2312" w:cs="Times New Roman"/>
          <w:kern w:val="0"/>
          <w:sz w:val="32"/>
          <w:szCs w:val="32"/>
          <w:lang w:val="zh-CN"/>
        </w:rPr>
      </w:pPr>
      <w:r>
        <w:rPr>
          <w:rFonts w:hint="eastAsia" w:ascii="Times New Roman" w:hAnsi="Times New Roman" w:eastAsia="仿宋_GB2312" w:cs="Times New Roman"/>
          <w:b/>
          <w:kern w:val="0"/>
          <w:sz w:val="32"/>
          <w:szCs w:val="32"/>
          <w:lang w:val="zh-CN"/>
        </w:rPr>
        <w:t>（4）该抽查任务的完成时限。</w:t>
      </w:r>
      <w:r>
        <w:rPr>
          <w:rFonts w:hint="eastAsia" w:ascii="Times New Roman" w:hAnsi="Times New Roman" w:eastAsia="仿宋_GB2312" w:cs="Times New Roman"/>
          <w:kern w:val="0"/>
          <w:sz w:val="32"/>
          <w:szCs w:val="32"/>
          <w:lang w:val="zh-CN"/>
        </w:rPr>
        <w:t>2023年12月31日前完成。</w:t>
      </w:r>
    </w:p>
    <w:p>
      <w:pPr>
        <w:autoSpaceDE w:val="0"/>
        <w:autoSpaceDN w:val="0"/>
        <w:adjustRightInd w:val="0"/>
        <w:spacing w:line="594" w:lineRule="exact"/>
        <w:ind w:firstLine="640" w:firstLineChars="200"/>
        <w:rPr>
          <w:rFonts w:hint="eastAsia" w:ascii="黑体" w:hAnsi="黑体" w:eastAsia="黑体" w:cs="Times New Roman"/>
          <w:kern w:val="0"/>
          <w:sz w:val="32"/>
          <w:szCs w:val="32"/>
          <w:lang w:val="zh-CN"/>
        </w:rPr>
      </w:pPr>
      <w:r>
        <w:rPr>
          <w:rFonts w:hint="eastAsia" w:ascii="黑体" w:hAnsi="黑体" w:eastAsia="黑体" w:cs="Times New Roman"/>
          <w:kern w:val="0"/>
          <w:sz w:val="32"/>
          <w:szCs w:val="32"/>
          <w:lang w:val="zh-CN"/>
        </w:rPr>
        <w:t>三、“双随机一公开”检查机制运行和应用</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（一）基本原则。</w:t>
      </w:r>
      <w:r>
        <w:rPr>
          <w:rFonts w:hint="eastAsia" w:ascii="Times New Roman" w:hAnsi="Times New Roman" w:eastAsia="仿宋_GB2312" w:cs="Times New Roman"/>
          <w:kern w:val="0"/>
          <w:sz w:val="32"/>
          <w:szCs w:val="32"/>
          <w:lang w:val="zh-CN"/>
        </w:rPr>
        <w:t>局有关股室要进一步增强责任意识。对未履行、不当履行、违法履行“双随机、一公开”监管职责的，要依法依规严肃处理；涉嫌犯罪的，移送司法机关追究刑事责任。同时，要坚持“尽职照单免责，失职照单问责”原则，各级交通运输部门执法检查人员凡严格依据抽查事项清单和相关工作制度开展“双随机、一公开”监管，检查对象未被抽到或抽到时未查出问题，只要执法检查人员不存在滥用职权、徇私舞弊等情形的，免予追究相关责任。</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（二）追责情形。</w:t>
      </w:r>
      <w:r>
        <w:rPr>
          <w:rFonts w:hint="eastAsia" w:ascii="Times New Roman" w:hAnsi="Times New Roman" w:eastAsia="仿宋_GB2312" w:cs="Times New Roman"/>
          <w:kern w:val="0"/>
          <w:sz w:val="32"/>
          <w:szCs w:val="32"/>
          <w:lang w:val="zh-CN"/>
        </w:rPr>
        <w:t>责任单位及执法检查人员在“双随机、一公开”监管中有下列情形之一的，应当承担行政责任：未按要求进行抽查检查，造成不良后果的；无特殊情况，未经批准未依法及时公示抽查检查结果，造成不良后果的；对抽查检查中发现的涉嫌犯罪案件，未依法移送公安机关处理的；不执行或者拖延执行抽查任务的；其他依法依规应当追究责任的。</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（三）免责情形</w:t>
      </w:r>
      <w:r>
        <w:rPr>
          <w:rFonts w:hint="eastAsia" w:ascii="Times New Roman" w:hAnsi="Times New Roman" w:eastAsia="仿宋_GB2312" w:cs="Times New Roman"/>
          <w:kern w:val="0"/>
          <w:sz w:val="32"/>
          <w:szCs w:val="32"/>
          <w:lang w:val="zh-CN"/>
        </w:rPr>
        <w:t>。责任单位及执法检查人员在“双随机、一公开”监管中存在下列情形之一、相关市场主体出现问题的，可以免除行政责任：按照法律法规规章规定和抽查工作计划安排，已履行抽查检查职责的；因现有专业技术手段限制不能发现所存在问题的；检查对象发生事故，性质上与执法检查人员的抽查检查不存在因果关系的；因被委托进行检查的专业机构出具虚假报告等，导致错误判定或者处理的；其他依法依规不应当追究责任的。</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（四）强化抽查检查结果公示运用。</w:t>
      </w:r>
      <w:r>
        <w:rPr>
          <w:rFonts w:hint="eastAsia" w:ascii="Times New Roman" w:hAnsi="Times New Roman" w:eastAsia="仿宋_GB2312" w:cs="Times New Roman"/>
          <w:kern w:val="0"/>
          <w:sz w:val="32"/>
          <w:szCs w:val="32"/>
          <w:lang w:val="zh-CN"/>
        </w:rPr>
        <w:t>除依法依规不适合公开的情形外，各有关股室依据职责在本次抽查任务完成后20个工作日内，将抽查检查结果通过公示系统进行公示，接受社会监督。涉及市场主体的抽查检查结果，要及时归集至公示系统（互联网+监管、双公示、政府网站）。积极向其他政府部门推送行政处罚、经营异常名录和严重违法失信企业名单等相关信息，按照《失信企业协同监管和联合惩戒合作备忘录》及我省有关规定，在政府采购、工程招投标、国有土地出让、授予荣誉称号等工作中实施联合惩戒，形成有力震慑，增强市场主体守法的自觉性。对双随机抽查中发现的各类问题，要按照“谁管辖、谁负责”的原则做好后续监管的衔接。对需要列入经营异常名录的要依规及时列入，对发现的其它违法行为要依法查处，对涉嫌犯罪的要及时移送司法机关，防止监管脱节。</w:t>
      </w:r>
    </w:p>
    <w:p>
      <w:pPr>
        <w:autoSpaceDE w:val="0"/>
        <w:autoSpaceDN w:val="0"/>
        <w:adjustRightInd w:val="0"/>
        <w:spacing w:line="594" w:lineRule="exact"/>
        <w:ind w:firstLine="640" w:firstLineChars="200"/>
        <w:rPr>
          <w:rFonts w:hint="eastAsia" w:ascii="黑体" w:hAnsi="黑体" w:eastAsia="黑体" w:cs="Times New Roman"/>
          <w:kern w:val="0"/>
          <w:sz w:val="32"/>
          <w:szCs w:val="32"/>
          <w:lang w:val="zh-CN"/>
        </w:rPr>
      </w:pPr>
      <w:r>
        <w:rPr>
          <w:rFonts w:hint="eastAsia" w:ascii="黑体" w:hAnsi="黑体" w:eastAsia="黑体" w:cs="Times New Roman"/>
          <w:kern w:val="0"/>
          <w:sz w:val="32"/>
          <w:szCs w:val="32"/>
          <w:lang w:val="zh-CN"/>
        </w:rPr>
        <w:t>四、加强组织实施</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（一）明确职责分工。</w:t>
      </w:r>
      <w:r>
        <w:rPr>
          <w:rFonts w:hint="eastAsia" w:ascii="Times New Roman" w:hAnsi="Times New Roman" w:eastAsia="仿宋_GB2312" w:cs="Times New Roman"/>
          <w:kern w:val="0"/>
          <w:sz w:val="32"/>
          <w:szCs w:val="32"/>
          <w:lang w:val="zh-CN"/>
        </w:rPr>
        <w:t>责任单位要根据职责和随机抽查事项清单，按照“谁主管、谁发起、谁主导、谁组织”的原则做好职责范围内双随机抽查检查工作。</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（二）加强组织保障。</w:t>
      </w:r>
      <w:r>
        <w:rPr>
          <w:rFonts w:hint="eastAsia" w:ascii="Times New Roman" w:hAnsi="Times New Roman" w:eastAsia="仿宋_GB2312" w:cs="Times New Roman"/>
          <w:kern w:val="0"/>
          <w:sz w:val="32"/>
          <w:szCs w:val="32"/>
          <w:lang w:val="zh-CN"/>
        </w:rPr>
        <w:t>责任单位要扎实推进“双随机、一公开”监管工作，健全领导机构和人员设置。</w:t>
      </w:r>
    </w:p>
    <w:p>
      <w:pPr>
        <w:tabs>
          <w:tab w:val="left" w:pos="851"/>
        </w:tabs>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（三）做好宣传培训。</w:t>
      </w:r>
      <w:r>
        <w:rPr>
          <w:rFonts w:hint="eastAsia" w:ascii="Times New Roman" w:hAnsi="Times New Roman" w:eastAsia="仿宋_GB2312" w:cs="Times New Roman"/>
          <w:kern w:val="0"/>
          <w:sz w:val="32"/>
          <w:szCs w:val="32"/>
          <w:lang w:val="zh-CN"/>
        </w:rPr>
        <w:t>责任单位要加强舆论宣传，通过新闻报道、专题片、访谈等多种形式主动向社会展示交通运输部门公正、廉洁、依法、审慎监管的良好形象，加快形成企业诚信自律、社会公众监督的良好氛围。要加强对基层和一线执法检查人员的培训，提升监管执法能力。</w:t>
      </w:r>
    </w:p>
    <w:p>
      <w:pPr>
        <w:autoSpaceDE w:val="0"/>
        <w:autoSpaceDN w:val="0"/>
        <w:adjustRightInd w:val="0"/>
        <w:spacing w:line="594" w:lineRule="exact"/>
        <w:ind w:firstLine="640" w:firstLineChars="200"/>
        <w:rPr>
          <w:rFonts w:hint="eastAsia" w:ascii="Times New Roman" w:hAnsi="Times New Roman" w:eastAsia="仿宋_GB2312" w:cs="Times New Roman"/>
          <w:kern w:val="0"/>
          <w:sz w:val="32"/>
          <w:szCs w:val="32"/>
          <w:lang w:val="zh-CN"/>
        </w:rPr>
      </w:pPr>
      <w:r>
        <w:rPr>
          <w:rFonts w:hint="eastAsia" w:ascii="楷体_GB2312" w:hAnsi="Times New Roman" w:eastAsia="楷体_GB2312" w:cs="Times New Roman"/>
          <w:kern w:val="0"/>
          <w:sz w:val="32"/>
          <w:szCs w:val="32"/>
          <w:lang w:val="zh-CN"/>
        </w:rPr>
        <w:t>（四）强化考核督查</w:t>
      </w:r>
      <w:r>
        <w:rPr>
          <w:rFonts w:hint="eastAsia" w:ascii="Times New Roman" w:hAnsi="Times New Roman" w:eastAsia="仿宋_GB2312" w:cs="Times New Roman"/>
          <w:kern w:val="0"/>
          <w:sz w:val="32"/>
          <w:szCs w:val="32"/>
          <w:lang w:val="zh-CN"/>
        </w:rPr>
        <w:t>。责任单位要按照本方案开展“双随机、一公开”监管工作，。每年12月31日前将本年度推进“双随机、一公开”监管工作情况报告局法律法规监察股。</w:t>
      </w:r>
    </w:p>
    <w:p>
      <w:pPr>
        <w:pStyle w:val="9"/>
        <w:tabs>
          <w:tab w:val="left" w:pos="7513"/>
          <w:tab w:val="left" w:pos="7655"/>
          <w:tab w:val="left" w:pos="7797"/>
        </w:tabs>
        <w:autoSpaceDE w:val="0"/>
        <w:spacing w:line="594" w:lineRule="exact"/>
        <w:ind w:firstLine="5219" w:firstLineChars="1631"/>
        <w:rPr>
          <w:rFonts w:ascii="Times New Roman" w:hAnsi="Times New Roman" w:eastAsia="仿宋_GB2312" w:cs="Times New Roman"/>
          <w:sz w:val="32"/>
          <w:szCs w:val="32"/>
          <w:lang w:val="zh-CN"/>
        </w:rPr>
      </w:pPr>
    </w:p>
    <w:p>
      <w:pPr>
        <w:pStyle w:val="9"/>
        <w:tabs>
          <w:tab w:val="left" w:pos="7513"/>
          <w:tab w:val="left" w:pos="7655"/>
          <w:tab w:val="left" w:pos="7797"/>
        </w:tabs>
        <w:autoSpaceDE w:val="0"/>
        <w:spacing w:line="594" w:lineRule="exact"/>
        <w:ind w:firstLine="5219" w:firstLineChars="1631"/>
        <w:rPr>
          <w:rFonts w:ascii="Times New Roman" w:hAnsi="Times New Roman" w:eastAsia="仿宋_GB2312" w:cs="Times New Roman"/>
          <w:sz w:val="32"/>
          <w:szCs w:val="32"/>
          <w:lang w:val="zh-CN"/>
        </w:rPr>
      </w:pPr>
    </w:p>
    <w:p>
      <w:pPr>
        <w:pStyle w:val="9"/>
        <w:tabs>
          <w:tab w:val="left" w:pos="7513"/>
          <w:tab w:val="left" w:pos="7655"/>
          <w:tab w:val="left" w:pos="7797"/>
        </w:tabs>
        <w:autoSpaceDE w:val="0"/>
        <w:spacing w:line="594" w:lineRule="exact"/>
        <w:ind w:firstLine="5219" w:firstLineChars="1631"/>
        <w:rPr>
          <w:rFonts w:ascii="Times New Roman" w:hAnsi="Times New Roman" w:eastAsia="仿宋_GB2312" w:cs="Times New Roman"/>
          <w:sz w:val="32"/>
          <w:szCs w:val="32"/>
          <w:lang w:val="zh-CN"/>
        </w:rPr>
      </w:pPr>
    </w:p>
    <w:p>
      <w:pPr>
        <w:pStyle w:val="9"/>
        <w:tabs>
          <w:tab w:val="left" w:pos="7513"/>
          <w:tab w:val="left" w:pos="7655"/>
          <w:tab w:val="left" w:pos="7797"/>
        </w:tabs>
        <w:autoSpaceDE w:val="0"/>
        <w:spacing w:line="594" w:lineRule="exact"/>
        <w:ind w:firstLine="5219" w:firstLineChars="1631"/>
        <w:rPr>
          <w:rFonts w:ascii="Times New Roman" w:hAnsi="Times New Roman" w:eastAsia="仿宋_GB2312"/>
          <w:sz w:val="32"/>
          <w:szCs w:val="32"/>
        </w:rPr>
      </w:pPr>
      <w:r>
        <w:rPr>
          <w:rFonts w:hint="eastAsia" w:ascii="Times New Roman" w:hAnsi="Times New Roman" w:eastAsia="仿宋_GB2312" w:cs="Times New Roman"/>
          <w:sz w:val="32"/>
          <w:szCs w:val="32"/>
          <w:lang w:val="zh-CN"/>
        </w:rPr>
        <w:t>2023年5月6日</w:t>
      </w:r>
    </w:p>
    <w:p>
      <w:pPr>
        <w:pStyle w:val="2"/>
        <w:spacing w:line="594" w:lineRule="exact"/>
        <w:ind w:firstLine="0" w:firstLineChars="0"/>
        <w:rPr>
          <w:rFonts w:ascii="Times New Roman" w:hAnsi="Times New Roman" w:cs="Times New Roman"/>
          <w:lang w:val="zh-CN"/>
        </w:rPr>
      </w:pPr>
    </w:p>
    <w:p>
      <w:pPr>
        <w:pStyle w:val="2"/>
        <w:spacing w:line="594" w:lineRule="exact"/>
        <w:ind w:firstLine="0" w:firstLineChars="0"/>
        <w:rPr>
          <w:rFonts w:ascii="Times New Roman" w:hAnsi="Times New Roman" w:cs="Times New Roman"/>
          <w:lang w:val="zh-CN"/>
        </w:rPr>
      </w:pPr>
    </w:p>
    <w:p>
      <w:pPr>
        <w:pStyle w:val="2"/>
        <w:spacing w:line="594" w:lineRule="exact"/>
        <w:ind w:firstLine="0" w:firstLineChars="0"/>
        <w:rPr>
          <w:rFonts w:ascii="Times New Roman" w:hAnsi="Times New Roman" w:cs="Times New Roman"/>
          <w:lang w:val="zh-CN"/>
        </w:rPr>
      </w:pPr>
    </w:p>
    <w:p>
      <w:pPr>
        <w:pStyle w:val="2"/>
        <w:spacing w:line="594" w:lineRule="exact"/>
        <w:ind w:firstLine="0" w:firstLineChars="0"/>
        <w:rPr>
          <w:rFonts w:ascii="Times New Roman" w:hAnsi="Times New Roman" w:cs="Times New Roman"/>
          <w:lang w:val="zh-CN"/>
        </w:rPr>
      </w:pPr>
    </w:p>
    <w:p>
      <w:pPr>
        <w:pStyle w:val="2"/>
        <w:spacing w:line="594" w:lineRule="exact"/>
        <w:ind w:firstLine="0" w:firstLineChars="0"/>
        <w:rPr>
          <w:rFonts w:ascii="Times New Roman" w:hAnsi="Times New Roman" w:cs="Times New Roman"/>
          <w:lang w:val="zh-CN"/>
        </w:rPr>
      </w:pPr>
    </w:p>
    <w:p>
      <w:pPr>
        <w:pStyle w:val="2"/>
        <w:spacing w:line="594" w:lineRule="exact"/>
        <w:ind w:firstLine="0" w:firstLineChars="0"/>
        <w:rPr>
          <w:rFonts w:ascii="Times New Roman" w:hAnsi="Times New Roman" w:cs="Times New Roman"/>
          <w:lang w:val="zh-CN"/>
        </w:rPr>
      </w:pPr>
    </w:p>
    <w:p>
      <w:pPr>
        <w:pStyle w:val="2"/>
        <w:spacing w:line="594" w:lineRule="exact"/>
        <w:ind w:firstLine="0" w:firstLineChars="0"/>
        <w:rPr>
          <w:rFonts w:ascii="Times New Roman" w:hAnsi="Times New Roman" w:cs="Times New Roman"/>
          <w:lang w:val="zh-CN"/>
        </w:rPr>
      </w:pPr>
    </w:p>
    <w:tbl>
      <w:tblPr>
        <w:tblStyle w:val="10"/>
        <w:tblW w:w="8844" w:type="dxa"/>
        <w:tblInd w:w="0" w:type="dxa"/>
        <w:tblBorders>
          <w:top w:val="single" w:color="000000" w:sz="8" w:space="0"/>
          <w:left w:val="none" w:color="auto" w:sz="0" w:space="0"/>
          <w:bottom w:val="single" w:color="000000" w:sz="8" w:space="0"/>
          <w:right w:val="none" w:color="auto" w:sz="0" w:space="0"/>
          <w:insideH w:val="single" w:color="000000" w:sz="6" w:space="0"/>
          <w:insideV w:val="none" w:color="auto" w:sz="0" w:space="0"/>
        </w:tblBorders>
        <w:tblLayout w:type="fixed"/>
        <w:tblCellMar>
          <w:top w:w="0" w:type="dxa"/>
          <w:left w:w="0" w:type="dxa"/>
          <w:bottom w:w="0" w:type="dxa"/>
          <w:right w:w="0" w:type="dxa"/>
        </w:tblCellMar>
      </w:tblPr>
      <w:tblGrid>
        <w:gridCol w:w="8844"/>
      </w:tblGrid>
      <w:tr>
        <w:tblPrEx>
          <w:tblBorders>
            <w:top w:val="single" w:color="000000" w:sz="8" w:space="0"/>
            <w:left w:val="none" w:color="auto" w:sz="0" w:space="0"/>
            <w:bottom w:val="single" w:color="000000" w:sz="8" w:space="0"/>
            <w:right w:val="none" w:color="auto" w:sz="0" w:space="0"/>
            <w:insideH w:val="single" w:color="000000" w:sz="6" w:space="0"/>
            <w:insideV w:val="none" w:color="auto" w:sz="0" w:space="0"/>
          </w:tblBorders>
          <w:tblCellMar>
            <w:top w:w="0" w:type="dxa"/>
            <w:left w:w="0" w:type="dxa"/>
            <w:bottom w:w="0" w:type="dxa"/>
            <w:right w:w="0" w:type="dxa"/>
          </w:tblCellMar>
        </w:tblPrEx>
        <w:trPr>
          <w:trHeight w:val="680" w:hRule="atLeast"/>
        </w:trPr>
        <w:tc>
          <w:tcPr>
            <w:tcW w:w="8844" w:type="dxa"/>
            <w:tcBorders>
              <w:top w:val="single" w:color="000000" w:sz="6" w:space="0"/>
              <w:left w:val="nil"/>
              <w:bottom w:val="single" w:color="000000" w:sz="8" w:space="0"/>
              <w:right w:val="nil"/>
            </w:tcBorders>
          </w:tcPr>
          <w:p>
            <w:pPr>
              <w:adjustRightInd w:val="0"/>
              <w:snapToGrid w:val="0"/>
              <w:spacing w:line="590" w:lineRule="exact"/>
              <w:rPr>
                <w:rFonts w:ascii="Times New Roman" w:hAnsi="Times New Roman" w:eastAsia="仿宋_GB2312" w:cs="Times New Roman"/>
                <w:szCs w:val="32"/>
              </w:rPr>
            </w:pPr>
            <w:r>
              <w:rPr>
                <w:rFonts w:ascii="Times New Roman" w:hAnsi="Times New Roman" w:cs="Times New Roman"/>
                <w:szCs w:val="32"/>
              </w:rPr>
              <w:t xml:space="preserve"> </w:t>
            </w:r>
            <w:r>
              <w:rPr>
                <w:rFonts w:ascii="Times New Roman" w:hAnsi="Times New Roman" w:eastAsia="仿宋_GB2312" w:cs="Times New Roman"/>
                <w:szCs w:val="32"/>
              </w:rPr>
              <w:t xml:space="preserve">  </w:t>
            </w:r>
            <w:r>
              <w:rPr>
                <w:rFonts w:ascii="Times New Roman" w:hAnsi="Times New Roman" w:eastAsia="仿宋_GB2312" w:cs="Times New Roman"/>
                <w:sz w:val="28"/>
                <w:szCs w:val="28"/>
              </w:rPr>
              <w:t>洛阳市孟津区</w:t>
            </w:r>
            <w:r>
              <w:rPr>
                <w:rFonts w:hint="eastAsia" w:ascii="Times New Roman" w:hAnsi="Times New Roman" w:eastAsia="仿宋_GB2312" w:cs="Times New Roman"/>
                <w:sz w:val="28"/>
                <w:szCs w:val="28"/>
              </w:rPr>
              <w:t>交通运输局</w:t>
            </w:r>
            <w:r>
              <w:rPr>
                <w:rFonts w:ascii="Times New Roman" w:hAnsi="Times New Roman" w:eastAsia="仿宋_GB2312" w:cs="Times New Roman"/>
                <w:sz w:val="28"/>
                <w:szCs w:val="28"/>
              </w:rPr>
              <w:t xml:space="preserve">办公室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5月6</w:t>
            </w:r>
            <w:r>
              <w:rPr>
                <w:rFonts w:ascii="Times New Roman" w:hAnsi="Times New Roman" w:eastAsia="仿宋_GB2312" w:cs="Times New Roman"/>
                <w:sz w:val="28"/>
                <w:szCs w:val="28"/>
              </w:rPr>
              <w:t>日印发</w:t>
            </w:r>
            <w:r>
              <w:rPr>
                <w:rFonts w:ascii="Times New Roman" w:hAnsi="Times New Roman" w:cs="Times New Roman"/>
                <w:szCs w:val="32"/>
              </w:rPr>
              <w:t xml:space="preserve">  </w:t>
            </w:r>
          </w:p>
        </w:tc>
      </w:tr>
    </w:tbl>
    <w:p>
      <w:pPr>
        <w:pStyle w:val="2"/>
        <w:spacing w:line="14" w:lineRule="exact"/>
      </w:pPr>
    </w:p>
    <w:sectPr>
      <w:footerReference r:id="rId3" w:type="default"/>
      <w:pgSz w:w="11906" w:h="16838"/>
      <w:pgMar w:top="1871" w:right="1531" w:bottom="1757" w:left="1531" w:header="0" w:footer="1417"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sz w:val="30"/>
                              <w:szCs w:val="30"/>
                            </w:rPr>
                          </w:pPr>
                          <w:r>
                            <w:rPr>
                              <w:rFonts w:hint="eastAsia" w:asciiTheme="minorEastAsia" w:hAnsiTheme="minorEastAsia" w:cstheme="minorEastAsia"/>
                              <w:sz w:val="30"/>
                              <w:szCs w:val="30"/>
                            </w:rPr>
                            <w:t xml:space="preserve"> </w:t>
                          </w:r>
                          <w:r>
                            <w:rPr>
                              <w:rStyle w:val="12"/>
                              <w:rFonts w:hint="eastAsia"/>
                              <w:sz w:val="28"/>
                              <w:szCs w:val="28"/>
                            </w:rPr>
                            <w:t xml:space="preserve">— </w:t>
                          </w:r>
                          <w:r>
                            <w:rPr>
                              <w:rFonts w:ascii="Times New Roman" w:hAnsi="Times New Roman" w:cs="Times New Roman"/>
                              <w:sz w:val="28"/>
                              <w:szCs w:val="28"/>
                            </w:rPr>
                            <w:fldChar w:fldCharType="begin"/>
                          </w:r>
                          <w:r>
                            <w:rPr>
                              <w:rStyle w:val="12"/>
                              <w:rFonts w:ascii="Times New Roman" w:hAnsi="Times New Roman" w:cs="Times New Roman"/>
                              <w:sz w:val="28"/>
                              <w:szCs w:val="28"/>
                            </w:rPr>
                            <w:instrText xml:space="preserve">PAGE  </w:instrText>
                          </w:r>
                          <w:r>
                            <w:rPr>
                              <w:rFonts w:ascii="Times New Roman" w:hAnsi="Times New Roman" w:cs="Times New Roman"/>
                              <w:sz w:val="28"/>
                              <w:szCs w:val="28"/>
                            </w:rPr>
                            <w:fldChar w:fldCharType="separate"/>
                          </w:r>
                          <w:r>
                            <w:rPr>
                              <w:rStyle w:val="12"/>
                              <w:rFonts w:ascii="Times New Roman" w:hAnsi="Times New Roman" w:cs="Times New Roman"/>
                              <w:sz w:val="28"/>
                              <w:szCs w:val="28"/>
                            </w:rPr>
                            <w:t>10</w:t>
                          </w:r>
                          <w:r>
                            <w:rPr>
                              <w:rFonts w:ascii="Times New Roman" w:hAnsi="Times New Roman" w:cs="Times New Roman"/>
                              <w:sz w:val="28"/>
                              <w:szCs w:val="28"/>
                            </w:rPr>
                            <w:fldChar w:fldCharType="end"/>
                          </w:r>
                          <w:r>
                            <w:rPr>
                              <w:rStyle w:val="12"/>
                              <w:rFonts w:hint="eastAsia"/>
                              <w:sz w:val="28"/>
                              <w:szCs w:val="28"/>
                            </w:rPr>
                            <w:t xml:space="preserve"> —</w:t>
                          </w:r>
                          <w:r>
                            <w:rPr>
                              <w:rFonts w:hint="eastAsia" w:asciiTheme="minorEastAsia" w:hAnsiTheme="minorEastAsia" w:cstheme="minorEastAsia"/>
                              <w:sz w:val="30"/>
                              <w:szCs w:val="30"/>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6"/>
                      <w:rPr>
                        <w:sz w:val="30"/>
                        <w:szCs w:val="30"/>
                      </w:rPr>
                    </w:pPr>
                    <w:r>
                      <w:rPr>
                        <w:rFonts w:hint="eastAsia" w:asciiTheme="minorEastAsia" w:hAnsiTheme="minorEastAsia" w:cstheme="minorEastAsia"/>
                        <w:sz w:val="30"/>
                        <w:szCs w:val="30"/>
                      </w:rPr>
                      <w:t xml:space="preserve"> </w:t>
                    </w:r>
                    <w:r>
                      <w:rPr>
                        <w:rStyle w:val="12"/>
                        <w:rFonts w:hint="eastAsia"/>
                        <w:sz w:val="28"/>
                        <w:szCs w:val="28"/>
                      </w:rPr>
                      <w:t xml:space="preserve">— </w:t>
                    </w:r>
                    <w:r>
                      <w:rPr>
                        <w:rFonts w:ascii="Times New Roman" w:hAnsi="Times New Roman" w:cs="Times New Roman"/>
                        <w:sz w:val="28"/>
                        <w:szCs w:val="28"/>
                      </w:rPr>
                      <w:fldChar w:fldCharType="begin"/>
                    </w:r>
                    <w:r>
                      <w:rPr>
                        <w:rStyle w:val="12"/>
                        <w:rFonts w:ascii="Times New Roman" w:hAnsi="Times New Roman" w:cs="Times New Roman"/>
                        <w:sz w:val="28"/>
                        <w:szCs w:val="28"/>
                      </w:rPr>
                      <w:instrText xml:space="preserve">PAGE  </w:instrText>
                    </w:r>
                    <w:r>
                      <w:rPr>
                        <w:rFonts w:ascii="Times New Roman" w:hAnsi="Times New Roman" w:cs="Times New Roman"/>
                        <w:sz w:val="28"/>
                        <w:szCs w:val="28"/>
                      </w:rPr>
                      <w:fldChar w:fldCharType="separate"/>
                    </w:r>
                    <w:r>
                      <w:rPr>
                        <w:rStyle w:val="12"/>
                        <w:rFonts w:ascii="Times New Roman" w:hAnsi="Times New Roman" w:cs="Times New Roman"/>
                        <w:sz w:val="28"/>
                        <w:szCs w:val="28"/>
                      </w:rPr>
                      <w:t>10</w:t>
                    </w:r>
                    <w:r>
                      <w:rPr>
                        <w:rFonts w:ascii="Times New Roman" w:hAnsi="Times New Roman" w:cs="Times New Roman"/>
                        <w:sz w:val="28"/>
                        <w:szCs w:val="28"/>
                      </w:rPr>
                      <w:fldChar w:fldCharType="end"/>
                    </w:r>
                    <w:r>
                      <w:rPr>
                        <w:rStyle w:val="12"/>
                        <w:rFonts w:hint="eastAsia"/>
                        <w:sz w:val="28"/>
                        <w:szCs w:val="28"/>
                      </w:rPr>
                      <w:t xml:space="preserve"> —</w:t>
                    </w:r>
                    <w:r>
                      <w:rPr>
                        <w:rFonts w:hint="eastAsia" w:asciiTheme="minorEastAsia" w:hAnsiTheme="minorEastAsia" w:cstheme="minorEastAsia"/>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formatting="1" w:enforcement="0"/>
  <w:defaultTabStop w:val="420"/>
  <w:drawingGridHorizontalSpacing w:val="105"/>
  <w:drawingGridVerticalSpacing w:val="31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OWI4NDRjNjRkYTA2ZmE4NDJhYjE4ZDVlMjg0YTgifQ=="/>
  </w:docVars>
  <w:rsids>
    <w:rsidRoot w:val="00D4327B"/>
    <w:rsid w:val="000268CF"/>
    <w:rsid w:val="000568DA"/>
    <w:rsid w:val="00074F48"/>
    <w:rsid w:val="000D214A"/>
    <w:rsid w:val="000D3574"/>
    <w:rsid w:val="000E1299"/>
    <w:rsid w:val="000E5165"/>
    <w:rsid w:val="001064B1"/>
    <w:rsid w:val="00164EA6"/>
    <w:rsid w:val="00196E12"/>
    <w:rsid w:val="001D641F"/>
    <w:rsid w:val="0023114E"/>
    <w:rsid w:val="0023635D"/>
    <w:rsid w:val="00266E66"/>
    <w:rsid w:val="0029223A"/>
    <w:rsid w:val="002962A3"/>
    <w:rsid w:val="002C0DDB"/>
    <w:rsid w:val="002C4859"/>
    <w:rsid w:val="00303135"/>
    <w:rsid w:val="00322568"/>
    <w:rsid w:val="00360DEC"/>
    <w:rsid w:val="00367395"/>
    <w:rsid w:val="00380394"/>
    <w:rsid w:val="00424B21"/>
    <w:rsid w:val="00433454"/>
    <w:rsid w:val="004811C5"/>
    <w:rsid w:val="00491A24"/>
    <w:rsid w:val="00504974"/>
    <w:rsid w:val="00532DFE"/>
    <w:rsid w:val="00557ED2"/>
    <w:rsid w:val="005A4D36"/>
    <w:rsid w:val="005B15B2"/>
    <w:rsid w:val="005C5342"/>
    <w:rsid w:val="00642DB9"/>
    <w:rsid w:val="00694EF9"/>
    <w:rsid w:val="006B0655"/>
    <w:rsid w:val="006F3854"/>
    <w:rsid w:val="007253EC"/>
    <w:rsid w:val="00782E42"/>
    <w:rsid w:val="007E4B6D"/>
    <w:rsid w:val="00827865"/>
    <w:rsid w:val="00882C2A"/>
    <w:rsid w:val="00964DDD"/>
    <w:rsid w:val="00986D0A"/>
    <w:rsid w:val="009B2DFD"/>
    <w:rsid w:val="009C6B03"/>
    <w:rsid w:val="009F5831"/>
    <w:rsid w:val="00A02F9B"/>
    <w:rsid w:val="00A332DD"/>
    <w:rsid w:val="00B05A9B"/>
    <w:rsid w:val="00B26487"/>
    <w:rsid w:val="00BA151D"/>
    <w:rsid w:val="00C406FC"/>
    <w:rsid w:val="00CF574F"/>
    <w:rsid w:val="00D1774E"/>
    <w:rsid w:val="00D4327B"/>
    <w:rsid w:val="00D50D19"/>
    <w:rsid w:val="00D84154"/>
    <w:rsid w:val="00E12FBF"/>
    <w:rsid w:val="00E471AB"/>
    <w:rsid w:val="00EA0396"/>
    <w:rsid w:val="00EC26B6"/>
    <w:rsid w:val="00ED09BB"/>
    <w:rsid w:val="00F343DF"/>
    <w:rsid w:val="00F9502C"/>
    <w:rsid w:val="00FF4A61"/>
    <w:rsid w:val="01F806B5"/>
    <w:rsid w:val="02B266CF"/>
    <w:rsid w:val="02EC1A53"/>
    <w:rsid w:val="03E2280B"/>
    <w:rsid w:val="03F235B0"/>
    <w:rsid w:val="04333B53"/>
    <w:rsid w:val="04E274A4"/>
    <w:rsid w:val="04EB5EBA"/>
    <w:rsid w:val="05487457"/>
    <w:rsid w:val="055F1BDF"/>
    <w:rsid w:val="057B5CBC"/>
    <w:rsid w:val="05C65B1E"/>
    <w:rsid w:val="05F24C16"/>
    <w:rsid w:val="06125519"/>
    <w:rsid w:val="064E1EED"/>
    <w:rsid w:val="06915419"/>
    <w:rsid w:val="08485941"/>
    <w:rsid w:val="08AC6F34"/>
    <w:rsid w:val="08C03460"/>
    <w:rsid w:val="0A6E0705"/>
    <w:rsid w:val="0A877D5B"/>
    <w:rsid w:val="0AB56968"/>
    <w:rsid w:val="0B1C12B7"/>
    <w:rsid w:val="0B801CDB"/>
    <w:rsid w:val="0BF16BEB"/>
    <w:rsid w:val="0C3D72B7"/>
    <w:rsid w:val="0D841F16"/>
    <w:rsid w:val="0E3D1FC5"/>
    <w:rsid w:val="0E487507"/>
    <w:rsid w:val="0E8D19EC"/>
    <w:rsid w:val="0E96068C"/>
    <w:rsid w:val="0F015617"/>
    <w:rsid w:val="10566B27"/>
    <w:rsid w:val="10BA1D53"/>
    <w:rsid w:val="113B47A1"/>
    <w:rsid w:val="113C5B17"/>
    <w:rsid w:val="11441F19"/>
    <w:rsid w:val="1210321F"/>
    <w:rsid w:val="12FB15A7"/>
    <w:rsid w:val="131E7A8F"/>
    <w:rsid w:val="13BE7033"/>
    <w:rsid w:val="14735D5E"/>
    <w:rsid w:val="152453D9"/>
    <w:rsid w:val="15602D47"/>
    <w:rsid w:val="1787E0F3"/>
    <w:rsid w:val="17D6010B"/>
    <w:rsid w:val="17DC7D6D"/>
    <w:rsid w:val="187C55E7"/>
    <w:rsid w:val="19AD2F2B"/>
    <w:rsid w:val="1B713288"/>
    <w:rsid w:val="1B746B43"/>
    <w:rsid w:val="1BFE693A"/>
    <w:rsid w:val="1C8B1EDB"/>
    <w:rsid w:val="1D494529"/>
    <w:rsid w:val="1D5A2B95"/>
    <w:rsid w:val="1D7F4E02"/>
    <w:rsid w:val="1DB1253D"/>
    <w:rsid w:val="1E6F136C"/>
    <w:rsid w:val="1E7568BC"/>
    <w:rsid w:val="1FF5646E"/>
    <w:rsid w:val="219D6460"/>
    <w:rsid w:val="21AE715E"/>
    <w:rsid w:val="21CF4B72"/>
    <w:rsid w:val="21EE77FE"/>
    <w:rsid w:val="22266759"/>
    <w:rsid w:val="226C74D3"/>
    <w:rsid w:val="23D36AAB"/>
    <w:rsid w:val="23DC02FE"/>
    <w:rsid w:val="24BA1461"/>
    <w:rsid w:val="24E43921"/>
    <w:rsid w:val="254829AF"/>
    <w:rsid w:val="25816938"/>
    <w:rsid w:val="2585026A"/>
    <w:rsid w:val="27251309"/>
    <w:rsid w:val="27D53DAD"/>
    <w:rsid w:val="2886202E"/>
    <w:rsid w:val="291A5CBE"/>
    <w:rsid w:val="29326BC1"/>
    <w:rsid w:val="29C81D74"/>
    <w:rsid w:val="2B251317"/>
    <w:rsid w:val="2D0476D9"/>
    <w:rsid w:val="2D175A1E"/>
    <w:rsid w:val="2E4F07B9"/>
    <w:rsid w:val="2E512572"/>
    <w:rsid w:val="2E527B3C"/>
    <w:rsid w:val="2FE20C36"/>
    <w:rsid w:val="30BB14EE"/>
    <w:rsid w:val="30D01039"/>
    <w:rsid w:val="3100189E"/>
    <w:rsid w:val="31C10A2B"/>
    <w:rsid w:val="31E51AE3"/>
    <w:rsid w:val="329274FF"/>
    <w:rsid w:val="33CC7387"/>
    <w:rsid w:val="344A70F5"/>
    <w:rsid w:val="36675E55"/>
    <w:rsid w:val="36685CF6"/>
    <w:rsid w:val="36851047"/>
    <w:rsid w:val="36F91B09"/>
    <w:rsid w:val="37A678C7"/>
    <w:rsid w:val="37E77122"/>
    <w:rsid w:val="380F0D56"/>
    <w:rsid w:val="38950640"/>
    <w:rsid w:val="397F609E"/>
    <w:rsid w:val="3A7F7CCF"/>
    <w:rsid w:val="3A953383"/>
    <w:rsid w:val="3B123BE3"/>
    <w:rsid w:val="3BE52269"/>
    <w:rsid w:val="3BF748B8"/>
    <w:rsid w:val="3BFB5F2A"/>
    <w:rsid w:val="3CAC0563"/>
    <w:rsid w:val="3CD76A91"/>
    <w:rsid w:val="3D3467F1"/>
    <w:rsid w:val="3D642F5B"/>
    <w:rsid w:val="3E816064"/>
    <w:rsid w:val="3FC814BD"/>
    <w:rsid w:val="402F2620"/>
    <w:rsid w:val="403B472B"/>
    <w:rsid w:val="405404A8"/>
    <w:rsid w:val="40867B64"/>
    <w:rsid w:val="419F2741"/>
    <w:rsid w:val="421F743D"/>
    <w:rsid w:val="42C97448"/>
    <w:rsid w:val="43224E7A"/>
    <w:rsid w:val="43621B62"/>
    <w:rsid w:val="43AC5E0D"/>
    <w:rsid w:val="43F94FA0"/>
    <w:rsid w:val="4442390F"/>
    <w:rsid w:val="4518163F"/>
    <w:rsid w:val="46151D43"/>
    <w:rsid w:val="4645768A"/>
    <w:rsid w:val="46875D29"/>
    <w:rsid w:val="470535BD"/>
    <w:rsid w:val="47594310"/>
    <w:rsid w:val="47FB5B43"/>
    <w:rsid w:val="489F721F"/>
    <w:rsid w:val="48CF71E2"/>
    <w:rsid w:val="48D474DB"/>
    <w:rsid w:val="497F389B"/>
    <w:rsid w:val="498711DE"/>
    <w:rsid w:val="4AE04616"/>
    <w:rsid w:val="4B172F9D"/>
    <w:rsid w:val="4B7213FB"/>
    <w:rsid w:val="4BA86DA0"/>
    <w:rsid w:val="4C764E89"/>
    <w:rsid w:val="4F7D23E2"/>
    <w:rsid w:val="4F8F6F28"/>
    <w:rsid w:val="4FD516D9"/>
    <w:rsid w:val="501257AF"/>
    <w:rsid w:val="511A4386"/>
    <w:rsid w:val="512A73C1"/>
    <w:rsid w:val="51A87049"/>
    <w:rsid w:val="54151D21"/>
    <w:rsid w:val="542B382B"/>
    <w:rsid w:val="550F18EA"/>
    <w:rsid w:val="55740E6A"/>
    <w:rsid w:val="55D26831"/>
    <w:rsid w:val="55F47CCA"/>
    <w:rsid w:val="561D2EA1"/>
    <w:rsid w:val="56570788"/>
    <w:rsid w:val="578E7527"/>
    <w:rsid w:val="579214CF"/>
    <w:rsid w:val="57BF78D6"/>
    <w:rsid w:val="57EA099D"/>
    <w:rsid w:val="58935F1E"/>
    <w:rsid w:val="58A66CBF"/>
    <w:rsid w:val="58D33CBB"/>
    <w:rsid w:val="593B16A8"/>
    <w:rsid w:val="5950687A"/>
    <w:rsid w:val="597A0D74"/>
    <w:rsid w:val="5AD06DB2"/>
    <w:rsid w:val="5B256C20"/>
    <w:rsid w:val="5B5A14CA"/>
    <w:rsid w:val="5BE30C08"/>
    <w:rsid w:val="5C7D32BB"/>
    <w:rsid w:val="5CE52C60"/>
    <w:rsid w:val="5D201478"/>
    <w:rsid w:val="5E7A79CF"/>
    <w:rsid w:val="5EA40A9B"/>
    <w:rsid w:val="5F047D59"/>
    <w:rsid w:val="5F0972A1"/>
    <w:rsid w:val="5F846E1C"/>
    <w:rsid w:val="600826D9"/>
    <w:rsid w:val="60FA18F4"/>
    <w:rsid w:val="61421AE6"/>
    <w:rsid w:val="624C19CD"/>
    <w:rsid w:val="626E72CE"/>
    <w:rsid w:val="62D474E3"/>
    <w:rsid w:val="62EF6A8B"/>
    <w:rsid w:val="63294790"/>
    <w:rsid w:val="63B27D49"/>
    <w:rsid w:val="646F31ED"/>
    <w:rsid w:val="653677E8"/>
    <w:rsid w:val="657A2B30"/>
    <w:rsid w:val="660A1543"/>
    <w:rsid w:val="66C54C95"/>
    <w:rsid w:val="66ED389E"/>
    <w:rsid w:val="685062C6"/>
    <w:rsid w:val="68D408C6"/>
    <w:rsid w:val="69FB7F1A"/>
    <w:rsid w:val="6A5B2EE1"/>
    <w:rsid w:val="6A5D789C"/>
    <w:rsid w:val="6A823A56"/>
    <w:rsid w:val="6A92044E"/>
    <w:rsid w:val="6AA77F2D"/>
    <w:rsid w:val="6AE34F68"/>
    <w:rsid w:val="6B7E0E46"/>
    <w:rsid w:val="6C2352E9"/>
    <w:rsid w:val="6C3E51C8"/>
    <w:rsid w:val="6C722585"/>
    <w:rsid w:val="6CB503A3"/>
    <w:rsid w:val="6CEC2B19"/>
    <w:rsid w:val="6DA2041E"/>
    <w:rsid w:val="6DDA2D48"/>
    <w:rsid w:val="6E50635B"/>
    <w:rsid w:val="6EB36826"/>
    <w:rsid w:val="6F2A719E"/>
    <w:rsid w:val="70A0556C"/>
    <w:rsid w:val="71057158"/>
    <w:rsid w:val="71A67F26"/>
    <w:rsid w:val="72127B44"/>
    <w:rsid w:val="7262611C"/>
    <w:rsid w:val="72672541"/>
    <w:rsid w:val="726F1B8A"/>
    <w:rsid w:val="729F75AC"/>
    <w:rsid w:val="73996A59"/>
    <w:rsid w:val="73AB4CBD"/>
    <w:rsid w:val="73FA77CB"/>
    <w:rsid w:val="74597DD0"/>
    <w:rsid w:val="752303DA"/>
    <w:rsid w:val="752D7AAE"/>
    <w:rsid w:val="75670439"/>
    <w:rsid w:val="766F3F28"/>
    <w:rsid w:val="77CC25E8"/>
    <w:rsid w:val="79302B81"/>
    <w:rsid w:val="7D62567C"/>
    <w:rsid w:val="7D6405F2"/>
    <w:rsid w:val="7D77221E"/>
    <w:rsid w:val="7D937A13"/>
    <w:rsid w:val="7DFE1DD7"/>
    <w:rsid w:val="7EFFE531"/>
    <w:rsid w:val="7FC84FAD"/>
    <w:rsid w:val="DABF149F"/>
    <w:rsid w:val="DEF39112"/>
    <w:rsid w:val="E3F923E9"/>
    <w:rsid w:val="FFDF41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link w:val="15"/>
    <w:qFormat/>
    <w:uiPriority w:val="1"/>
    <w:pPr>
      <w:autoSpaceDE w:val="0"/>
      <w:autoSpaceDN w:val="0"/>
      <w:jc w:val="left"/>
    </w:pPr>
    <w:rPr>
      <w:rFonts w:ascii="仿宋_GB2312" w:hAnsi="仿宋_GB2312" w:eastAsia="仿宋_GB2312" w:cs="仿宋_GB2312"/>
      <w:kern w:val="0"/>
      <w:sz w:val="32"/>
      <w:szCs w:val="32"/>
      <w:lang w:val="zh-CN" w:bidi="zh-CN"/>
    </w:rPr>
  </w:style>
  <w:style w:type="paragraph" w:styleId="4">
    <w:name w:val="Body Text Indent 2"/>
    <w:basedOn w:val="1"/>
    <w:qFormat/>
    <w:uiPriority w:val="0"/>
    <w:pPr>
      <w:ind w:firstLine="615"/>
    </w:pPr>
    <w:rPr>
      <w:szCs w:val="20"/>
    </w:r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3"/>
    <w:link w:val="16"/>
    <w:uiPriority w:val="0"/>
    <w:pPr>
      <w:autoSpaceDE/>
      <w:autoSpaceDN/>
      <w:spacing w:after="120"/>
      <w:ind w:firstLine="420" w:firstLineChars="100"/>
      <w:jc w:val="both"/>
    </w:pPr>
    <w:rPr>
      <w:rFonts w:asciiTheme="minorHAnsi" w:hAnsiTheme="minorHAnsi" w:eastAsiaTheme="minorEastAsia" w:cstheme="minorBidi"/>
      <w:kern w:val="2"/>
      <w:sz w:val="21"/>
      <w:szCs w:val="24"/>
      <w:lang w:val="en-US" w:bidi="ar-SA"/>
    </w:rPr>
  </w:style>
  <w:style w:type="character" w:styleId="12">
    <w:name w:val="page number"/>
    <w:basedOn w:val="11"/>
    <w:qFormat/>
    <w:uiPriority w:val="0"/>
  </w:style>
  <w:style w:type="paragraph" w:customStyle="1" w:styleId="13">
    <w:name w:val="Char"/>
    <w:basedOn w:val="1"/>
    <w:qFormat/>
    <w:uiPriority w:val="0"/>
    <w:pPr>
      <w:adjustRightInd w:val="0"/>
      <w:snapToGrid w:val="0"/>
      <w:spacing w:line="240" w:lineRule="atLeast"/>
      <w:jc w:val="left"/>
    </w:pPr>
  </w:style>
  <w:style w:type="character" w:customStyle="1" w:styleId="14">
    <w:name w:val="批注框文本 Char"/>
    <w:basedOn w:val="11"/>
    <w:link w:val="5"/>
    <w:qFormat/>
    <w:uiPriority w:val="0"/>
    <w:rPr>
      <w:rFonts w:asciiTheme="minorHAnsi" w:hAnsiTheme="minorHAnsi" w:eastAsiaTheme="minorEastAsia" w:cstheme="minorBidi"/>
      <w:kern w:val="2"/>
      <w:sz w:val="18"/>
      <w:szCs w:val="18"/>
    </w:rPr>
  </w:style>
  <w:style w:type="character" w:customStyle="1" w:styleId="15">
    <w:name w:val="正文文本 Char"/>
    <w:basedOn w:val="11"/>
    <w:link w:val="3"/>
    <w:uiPriority w:val="1"/>
    <w:rPr>
      <w:rFonts w:ascii="仿宋_GB2312" w:hAnsi="仿宋_GB2312" w:eastAsia="仿宋_GB2312" w:cs="仿宋_GB2312"/>
      <w:sz w:val="32"/>
      <w:szCs w:val="32"/>
      <w:lang w:val="zh-CN" w:bidi="zh-CN"/>
    </w:rPr>
  </w:style>
  <w:style w:type="character" w:customStyle="1" w:styleId="16">
    <w:name w:val="正文首行缩进 Char"/>
    <w:basedOn w:val="15"/>
    <w:link w:val="9"/>
    <w:uiPriority w:val="0"/>
    <w:rPr>
      <w:rFonts w:asciiTheme="minorHAnsi" w:hAnsiTheme="minorHAnsi" w:eastAsiaTheme="minorEastAsia" w:cstheme="minorBidi"/>
      <w:kern w:val="2"/>
      <w:sz w:val="21"/>
      <w:szCs w:val="24"/>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7B3DDD-BD1F-4FFE-B977-BFFC0BB6559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4735</Words>
  <Characters>4868</Characters>
  <Lines>35</Lines>
  <Paragraphs>9</Paragraphs>
  <TotalTime>1</TotalTime>
  <ScaleCrop>false</ScaleCrop>
  <LinksUpToDate>false</LinksUpToDate>
  <CharactersWithSpaces>4885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2020-05-24T01:50:00Z</dcterms:created>
  <dc:creator>Administrator</dc:creator>
  <cp:lastModifiedBy>15236</cp:lastModifiedBy>
  <cp:lastPrinted>2023-03-21T09:15:00Z</cp:lastPrinted>
  <dcterms:modified xsi:type="dcterms:W3CDTF">2023-05-11T07:10:51Z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76278FED69FA44B5861496DF70B35D54</vt:lpwstr>
  </property>
</Properties>
</file>